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80" w:lineRule="exact"/>
        <w:rPr>
          <w:rStyle w:val="977"/>
          <w:rFonts w:ascii="Times New Roman" w:hAnsi="Times New Roman" w:eastAsia="Calibri" w:cs="Times New Roman"/>
          <w:b w:val="0"/>
          <w:bCs w:val="0"/>
          <w:spacing w:val="-10"/>
          <w:sz w:val="28"/>
          <w:szCs w:val="28"/>
        </w:rPr>
      </w:pPr>
      <w:r>
        <w:rPr>
          <w:rStyle w:val="977"/>
          <w:rFonts w:ascii="Times New Roman" w:hAnsi="Times New Roman" w:eastAsia="Calibri" w:cs="Times New Roman"/>
          <w:b w:val="0"/>
          <w:bCs w:val="0"/>
          <w:spacing w:val="-1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977"/>
          <w:rFonts w:ascii="Times New Roman" w:hAnsi="Times New Roman" w:eastAsia="Calibri" w:cs="Times New Roman"/>
          <w:spacing w:val="-10"/>
          <w:sz w:val="28"/>
          <w:szCs w:val="28"/>
          <w:highlight w:val="none"/>
          <w:lang w:eastAsia="ru-RU"/>
        </w:rPr>
      </w:r>
      <w:r>
        <w:rPr>
          <w:rStyle w:val="977"/>
          <w:rFonts w:ascii="Times New Roman" w:hAnsi="Times New Roman" w:eastAsia="Calibri" w:cs="Times New Roman"/>
          <w:spacing w:val="-10"/>
          <w:sz w:val="28"/>
          <w:szCs w:val="28"/>
          <w:highlight w:val="none"/>
          <w:lang w:eastAsia="ru-RU"/>
        </w:rPr>
      </w:r>
    </w:p>
    <w:p>
      <w:pPr>
        <w:jc w:val="center"/>
        <w:spacing w:line="280" w:lineRule="exact"/>
        <w:rPr>
          <w:rStyle w:val="977"/>
          <w:rFonts w:ascii="Times New Roman" w:hAnsi="Times New Roman" w:eastAsia="Calibri" w:cs="Times New Roman"/>
          <w:spacing w:val="-10"/>
          <w:sz w:val="28"/>
          <w:szCs w:val="28"/>
          <w:highlight w:val="none"/>
          <w:lang w:eastAsia="ru-RU"/>
        </w:rPr>
      </w:pPr>
      <w:r>
        <w:rPr>
          <w:rStyle w:val="977"/>
          <w:rFonts w:ascii="Times New Roman" w:hAnsi="Times New Roman" w:eastAsia="Calibri" w:cs="Times New Roman"/>
          <w:spacing w:val="-10"/>
          <w:sz w:val="28"/>
          <w:szCs w:val="28"/>
          <w:lang w:eastAsia="ru-RU"/>
        </w:rPr>
        <w:t xml:space="preserve">ПРОГРАММА</w:t>
      </w:r>
      <w:r/>
      <w:r/>
    </w:p>
    <w:p>
      <w:pPr>
        <w:jc w:val="center"/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eastAsia="Calibri" w:cs="Times New Roman"/>
          <w:spacing w:val="-10"/>
          <w:sz w:val="28"/>
          <w:szCs w:val="28"/>
          <w:lang w:eastAsia="ru-RU"/>
        </w:rPr>
        <w:t xml:space="preserve">ТУРИСТСКОГО ФОРУМА «ЮГРАТУР 2023»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eastAsia="Calibri" w:cs="Times New Roman"/>
          <w:i/>
          <w:spacing w:val="-10"/>
          <w:sz w:val="28"/>
          <w:szCs w:val="28"/>
          <w:lang w:eastAsia="ru-RU"/>
        </w:rPr>
        <w:t xml:space="preserve">8-9 НОЯБРЯ 2024 ГОДА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eastAsia="Calibri" w:cs="Times New Roman"/>
          <w:i/>
          <w:spacing w:val="-10"/>
          <w:sz w:val="28"/>
          <w:szCs w:val="28"/>
          <w:lang w:eastAsia="ru-RU"/>
        </w:rPr>
        <w:t xml:space="preserve">(оффлайн и онлайн форматы)</w:t>
      </w:r>
      <w:r/>
    </w:p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/>
    </w:p>
    <w:tbl>
      <w:tblPr>
        <w:tblW w:w="15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46"/>
        <w:gridCol w:w="10704"/>
        <w:gridCol w:w="2767"/>
      </w:tblGrid>
      <w:tr>
        <w:trPr>
          <w:jc w:val="center"/>
          <w:trHeight w:val="844"/>
        </w:trPr>
        <w:tc>
          <w:tcPr>
            <w:gridSpan w:val="3"/>
            <w:shd w:val="clear" w:color="auto" w:fill="auto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8 НОЯБРЯ, ПЯТНИЦА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10:00-18:00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Работа интерактивной зон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</w:rPr>
              <w:t xml:space="preserve">ы «Город Мастеров»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Мастер-классы, изготовление флорариумов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, гончарное дело, кузнечное дело, декоративно-прикладное искусство, народные художественные промыслы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i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i/>
                <w:spacing w:val="-1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торговли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1 этаж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10:00-19:00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Работа </w:t>
            </w: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интерактивной зоны 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</w:rPr>
              <w:t xml:space="preserve">«Вкус Югры» 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i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Зона Фуд-корта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i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Торговые ряды Югорских товаропроизводителей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питания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1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10:00-17:30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Консультации: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 меры поддержки, оказываемые Фондом развития Югры, Департаментом промышленности Ханты-Мансийского автономного округа – Югры, ФПП «Мой бизнес «Югра»;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 поддержка через платформу 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ВизитЮгра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 форматы взаимодействия с 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ВизитЮгра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, Департаментом промышленности Ханты-Мансийского автономного округа – Югры, ФПП «Мой бизнес «Югра»</w:t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стенд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ВизитЮгра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10:00-11:30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Бизнес-встреча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 туристического бизнеса Югры и туристического бизнеса Республик Азербайджан, 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Таджикистан и Узбекистан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Вопросы для обсуждения: </w:t>
            </w:r>
            <w:r/>
          </w:p>
          <w:p>
            <w:pPr>
              <w:pStyle w:val="981"/>
              <w:numPr>
                <w:ilvl w:val="0"/>
                <w:numId w:val="43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презентация туристских предложений сторон;</w:t>
            </w:r>
            <w:r/>
          </w:p>
          <w:p>
            <w:pPr>
              <w:pStyle w:val="981"/>
              <w:numPr>
                <w:ilvl w:val="0"/>
                <w:numId w:val="43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налаживание контактов по 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взаимодействию с туроператорами сторон; </w:t>
            </w:r>
            <w:r/>
          </w:p>
          <w:p>
            <w:pPr>
              <w:pStyle w:val="981"/>
              <w:numPr>
                <w:ilvl w:val="0"/>
                <w:numId w:val="43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сотрудничество по привлечению организованных групп туристов.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Участники: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представители туристического бизнеса, 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региональные туроператоры, эксперты 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малый зал 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Всероссийский конкурс в сфере этнографического туризма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  <w:trHeight w:val="414"/>
        </w:trPr>
        <w:tc>
          <w:tcPr>
            <w:shd w:val="clear" w:color="ffffff" w:fill="ffffff"/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12:00-12:30</w:t>
            </w:r>
            <w:r/>
          </w:p>
        </w:tc>
        <w:tc>
          <w:tcPr>
            <w:shd w:val="clear" w:color="ffffff" w:fill="ffffff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  <w:lang w:eastAsia="ru-RU"/>
              </w:rPr>
              <w:t xml:space="preserve">Церемония официального открытия туристского Форума «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  <w:lang w:eastAsia="ru-RU"/>
              </w:rPr>
              <w:t xml:space="preserve">ЮграТур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  <w:lang w:eastAsia="ru-RU"/>
              </w:rPr>
              <w:t xml:space="preserve"> 2024»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Приветственное слово Губернатора Ханты-Мансийского автономного округа – Югры 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промышленности Ханты-Мансийского автономного округа – Югры</w:t>
            </w:r>
            <w:r/>
          </w:p>
        </w:tc>
        <w:tc>
          <w:tcPr>
            <w:shd w:val="clear" w:color="ffffff" w:fill="ffffff"/>
            <w:tcW w:w="27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  <w:trHeight w:val="1077"/>
        </w:trPr>
        <w:tc>
          <w:tcPr>
            <w:shd w:val="clear" w:color="ffffff" w:fill="ffffff"/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12:30-13:30</w:t>
            </w:r>
            <w:r/>
          </w:p>
        </w:tc>
        <w:tc>
          <w:tcPr>
            <w:shd w:val="clear" w:color="ffffff" w:fill="ffffff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Обход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выставки официальными лицами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Участники: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Губернатор Ханты-Мансийского автономного округа – Югры,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заместитель Губернатора Ханты-Мансийского автономного округа – Югры;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Минэко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РФ;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Зайцев Кирилл Сергеевич, директор Департамента промышленности Ханты-Мансийского автономного округа – Югры;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Колупаев Роман Геннадьевич, генеральный директор Фонда развития Югры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промышленности Ханты-Мансийского автономного округа – Югры</w:t>
            </w:r>
            <w:r/>
          </w:p>
        </w:tc>
        <w:tc>
          <w:tcPr>
            <w:shd w:val="clear" w:color="ffffff" w:fill="ffffff"/>
            <w:tcW w:w="27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выставочный зал</w:t>
            </w:r>
            <w:r/>
          </w:p>
        </w:tc>
      </w:tr>
      <w:tr>
        <w:trPr>
          <w:jc w:val="center"/>
          <w:trHeight w:val="1077"/>
        </w:trPr>
        <w:tc>
          <w:tcPr>
            <w:shd w:val="clear" w:color="ffffff" w:fill="ffffff"/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14:00-16:00</w:t>
            </w:r>
            <w:r/>
          </w:p>
        </w:tc>
        <w:tc>
          <w:tcPr>
            <w:shd w:val="clear" w:color="ffffff" w:fill="ffffff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8"/>
                <w:szCs w:val="28"/>
              </w:rPr>
              <w:t xml:space="preserve">Пленарное заседание: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8"/>
                <w:szCs w:val="28"/>
                <w:highlight w:val="white"/>
              </w:rPr>
              <w:t xml:space="preserve">«Туризм в северных регионах. Продвижение и развитие. Опыт регионов» 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Модератор: 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Эксперты: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Ушаков Михаил, исполнительный директор НП «Национальная ассоциация информационно-туристских организаций»;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представитель Министерства экономического развития РФ;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представители северных регионов (Мурманская обл., Камчатский край, Сахалинская обл. и т.д.)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Вопросы для обсуждения: 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продвижение турпродукта через маркетплейсы; 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вектор развития индустрии гостеприимства Российской Федерации и Югры, 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общероссийские тревел тренды; 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биг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даты северных территорий;</w:t>
            </w:r>
            <w:r/>
          </w:p>
          <w:p>
            <w:pPr>
              <w:pStyle w:val="981"/>
              <w:numPr>
                <w:ilvl w:val="0"/>
                <w:numId w:val="44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календарь событий, как инструмент продвижения северных регионов на рынке внутреннего и въездного туризма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Участники: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представители муниципальных образований автономного округа, туристический бизнес, представители Общественной палаты Ханты-Мансийского автономного округа-Югры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представители Департамента промышленности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Ханты-Мансийского автономного округа –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Югры,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представители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 Фонда развития Югры </w:t>
            </w: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федеральные, региональные туроператоры, эксперты, приглашенные гости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Фонд развития Югры</w:t>
            </w:r>
            <w:r/>
          </w:p>
        </w:tc>
        <w:tc>
          <w:tcPr>
            <w:shd w:val="clear" w:color="ffffff" w:fill="ffffff"/>
            <w:tcW w:w="27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  <w:trHeight w:val="1360"/>
        </w:trPr>
        <w:tc>
          <w:tcPr>
            <w:shd w:val="clear" w:color="ffffff" w:fill="ffffff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14974411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16:30-17:30</w:t>
            </w:r>
            <w:bookmarkEnd w:id="0"/>
            <w:r/>
            <w:r/>
          </w:p>
        </w:tc>
        <w:tc>
          <w:tcPr>
            <w:shd w:val="clear" w:color="ffffff" w:fill="ffffff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Стратегическая сессия «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Туризм как двигатель креативной экономики региона»</w:t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Что может привлечь туристов в регион (киноиндустрия, бренды одежды, региональная кухня и т.д.)</w:t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Style w:val="977"/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Style w:val="977"/>
                <w:rFonts w:ascii="Times New Roman" w:hAnsi="Times New Roman" w:eastAsia="Calibri" w:cs="Times New Roman"/>
                <w:i/>
                <w:iCs/>
                <w:sz w:val="28"/>
                <w:szCs w:val="28"/>
                <w:lang w:eastAsia="ru-RU"/>
              </w:rPr>
              <w:t xml:space="preserve">Участники:</w:t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z w:val="28"/>
                <w:szCs w:val="28"/>
                <w:lang w:eastAsia="ru-RU"/>
              </w:rPr>
              <w:t xml:space="preserve">представители креативной индустрии</w:t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225" w:leader="none"/>
                <w:tab w:val="left" w:pos="390" w:leader="none"/>
                <w:tab w:val="left" w:pos="12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8"/>
                <w:szCs w:val="28"/>
              </w:rPr>
              <w:t xml:space="preserve">Организаторы: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промышленности Ханты-Мансийского автономного округа – Югры, Департамент экономического развития Ханты-Мансийского автономного округа – Югры, Фонд «Мой бизнес. Югра»</w:t>
            </w:r>
            <w:r/>
          </w:p>
        </w:tc>
        <w:tc>
          <w:tcPr>
            <w:shd w:val="clear" w:color="ffffff" w:fill="ffffff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зал «Кедр»</w:t>
            </w:r>
            <w:r/>
          </w:p>
        </w:tc>
      </w:tr>
      <w:tr>
        <w:trPr>
          <w:jc w:val="center"/>
          <w:trHeight w:val="1218"/>
        </w:trPr>
        <w:tc>
          <w:tcPr>
            <w:shd w:val="clear" w:color="ffffff" w:fill="ffffff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18:00-19:00</w:t>
            </w:r>
            <w:r/>
          </w:p>
        </w:tc>
        <w:tc>
          <w:tcPr>
            <w:shd w:val="clear" w:color="ffffff" w:fill="ffffff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 туристического бренда Югры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Участники:</w:t>
            </w:r>
            <w:r/>
          </w:p>
          <w:p>
            <w:pPr>
              <w:pStyle w:val="981"/>
              <w:numPr>
                <w:ilvl w:val="0"/>
                <w:numId w:val="30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представители муниципальных образований автономного округа,</w:t>
            </w:r>
            <w:r/>
          </w:p>
          <w:p>
            <w:pPr>
              <w:pStyle w:val="981"/>
              <w:numPr>
                <w:ilvl w:val="0"/>
                <w:numId w:val="31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туристический бизнес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ffffff" w:fill="ffffff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 xml:space="preserve">:00-22:00</w:t>
            </w:r>
            <w:r/>
          </w:p>
        </w:tc>
        <w:tc>
          <w:tcPr>
            <w:gridSpan w:val="2"/>
            <w:shd w:val="clear" w:color="auto" w:fill="auto"/>
            <w:tcW w:w="13471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Торжественный ужин</w:t>
            </w:r>
            <w:r/>
          </w:p>
        </w:tc>
      </w:tr>
      <w:tr>
        <w:trPr>
          <w:jc w:val="center"/>
          <w:trHeight w:val="671"/>
        </w:trPr>
        <w:tc>
          <w:tcPr>
            <w:gridSpan w:val="3"/>
            <w:shd w:val="clear" w:color="auto" w:fill="auto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9 НОЯБРЯ, СУББОТА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10:00-16:30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Работа интерактивных зон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</w:rPr>
              <w:t xml:space="preserve">: «Вкус Югры», «Город Мастеров»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Мастер-классы, изготовление флорариумов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, гончарное дело, кузнечное дело, декоративно-прикладное искусство, народные художественные промыслы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торговли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spacing w:val="-10"/>
                <w:sz w:val="28"/>
                <w:szCs w:val="28"/>
              </w:rPr>
              <w:t xml:space="preserve">1 этаж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10:00-17:30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Работа интерактивной</w:t>
            </w: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 зоны </w:t>
            </w:r>
            <w:r>
              <w:rPr>
                <w:rStyle w:val="977"/>
                <w:rFonts w:ascii="Times New Roman" w:hAnsi="Times New Roman" w:eastAsia="Calibri" w:cs="Times New Roman"/>
                <w:spacing w:val="-10"/>
                <w:sz w:val="28"/>
                <w:szCs w:val="28"/>
              </w:rPr>
              <w:t xml:space="preserve">«Вкус Югры» 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Зона Фуд-корта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/>
                <w:iCs/>
                <w:spacing w:val="-10"/>
                <w:sz w:val="28"/>
                <w:szCs w:val="28"/>
              </w:rPr>
              <w:t xml:space="preserve">Торговые ряды Югорских товаропроизводителей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питания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10:00-15:30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iCs/>
                <w:spacing w:val="-10"/>
                <w:sz w:val="28"/>
                <w:szCs w:val="28"/>
              </w:rPr>
              <w:t xml:space="preserve">Консультации: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 меры поддержки, оказываемые Фондом развития Югры, Департаментом промышленности Ханты-Мансийского автономного округа – Югры, ФПП «Мой бизнес «Югра»;</w:t>
            </w:r>
            <w:r/>
          </w:p>
          <w:p>
            <w:pPr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 поддержка через платформу 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ВизитЮгра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- форматы взаимодействия с 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ВизитЮгра</w:t>
            </w:r>
            <w:r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  <w:t xml:space="preserve">, Департаментом промышленности Ханты-Мансийского автономного округа – Югры, ФПП «Мой бизнес «Югра».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стенд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ВизитЮгра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Заседание Координационного совета по развитию туризма в Ханты-Мансийском автономном округе - Югре</w:t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Style w:val="977"/>
                <w:rFonts w:ascii="Times New Roman" w:hAnsi="Times New Roman" w:eastAsia="Calibri" w:cs="Times New Roman"/>
                <w:b w:val="0"/>
                <w:bCs w:val="0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зал «Кедр»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10:00-13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Всероссийский конкурс в сфере этнографического туризма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12:00-14:00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Лучшие практики реализации туристских проектов на территории Ханты-Мансийского автономного округа – Югры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Презентация действующих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бизнес-проектов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студенческих проектов по итогам проектной деятельности ВУЗов и по итогам краудсорсингового проекта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proГостеприимство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Югры»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Участники:</w:t>
            </w:r>
            <w:r/>
          </w:p>
          <w:p>
            <w:pPr>
              <w:pStyle w:val="981"/>
              <w:numPr>
                <w:ilvl w:val="0"/>
                <w:numId w:val="45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представители муниципальных образований автономного округа</w:t>
            </w:r>
            <w:r/>
          </w:p>
          <w:p>
            <w:pPr>
              <w:pStyle w:val="981"/>
              <w:numPr>
                <w:ilvl w:val="0"/>
                <w:numId w:val="46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туристический бизнес</w:t>
            </w:r>
            <w:r/>
          </w:p>
          <w:p>
            <w:pPr>
              <w:pStyle w:val="981"/>
              <w:numPr>
                <w:ilvl w:val="0"/>
                <w:numId w:val="46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студенческое сообщество</w:t>
            </w:r>
            <w:r/>
          </w:p>
          <w:p>
            <w:pPr>
              <w:pStyle w:val="981"/>
              <w:numPr>
                <w:ilvl w:val="0"/>
                <w:numId w:val="46"/>
              </w:num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977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общественность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большой конференц-зал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14:00-15:00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Церемония награждения: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Лауреатов конкурса «Лидеры туриндустрии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Ханты-Мансийского автономного округа – Югры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»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Лауреатов Всероссийского конкурса в сфере этнографического туризма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сцена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174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15:00-15:30</w:t>
            </w:r>
            <w:r/>
          </w:p>
        </w:tc>
        <w:tc>
          <w:tcPr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Проведение розыгрыша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(сувениры Югорских мастеров, продукция фермеров Югры, путевки от турбизнеса)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Организатор:</w:t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Департамент промышленности Ханты-Мансийского автономного округа – Югры</w:t>
            </w:r>
            <w:r/>
          </w:p>
        </w:tc>
        <w:tc>
          <w:tcPr>
            <w:shd w:val="clear" w:color="auto" w:fill="auto"/>
            <w:tcW w:w="276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сцена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программе возможны изменения и дополнения.</w:t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6838" w:h="11906" w:orient="landscape"/>
      <w:pgMar w:top="766" w:right="567" w:bottom="425" w:left="975" w:header="340" w:footer="34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Lucida Sans">
    <w:panose1 w:val="020B0602030504020204"/>
  </w:font>
  <w:font w:name="Montserrat">
    <w:panose1 w:val="02000603000000000000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8713650"/>
      <w:docPartObj>
        <w:docPartGallery w:val="AutoText"/>
      </w:docPartObj>
      <w:rPr/>
    </w:sdtPr>
    <w:sdtContent>
      <w:p>
        <w:pPr>
          <w:pStyle w:val="97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54643985"/>
      <w:docPartObj>
        <w:docPartGallery w:val="AutoText"/>
      </w:docPartObj>
      <w:rPr/>
    </w:sdtPr>
    <w:sdtContent>
      <w:p>
        <w:pPr>
          <w:pStyle w:val="975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 xml:space="preserve"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left" w:pos="720" w:leader="none"/>
        </w:tabs>
      </w:pPr>
      <w:rPr>
        <w:rFonts w:cs="OpenSymbol"/>
      </w:rPr>
    </w:lvl>
    <w:lvl w:ilvl="1">
      <w:start w:val="1"/>
      <w:numFmt w:val="bullet"/>
      <w:isLgl w:val="false"/>
      <w:suff w:val="tab"/>
      <w:lvlText w:val=""/>
      <w:lvlJc w:val="left"/>
      <w:pPr>
        <w:ind w:left="1080" w:hanging="360"/>
        <w:tabs>
          <w:tab w:val="left" w:pos="1080" w:leader="none"/>
        </w:tabs>
      </w:pPr>
      <w:rPr>
        <w:rFonts w:cs="OpenSymbol"/>
      </w:rPr>
    </w:lvl>
    <w:lvl w:ilvl="2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left" w:pos="1440" w:leader="none"/>
        </w:tabs>
      </w:pPr>
      <w:rPr>
        <w:rFonts w:cs="OpenSymbol"/>
      </w:rPr>
    </w:lvl>
    <w:lvl w:ilvl="3">
      <w:start w:val="1"/>
      <w:numFmt w:val="bullet"/>
      <w:isLgl w:val="false"/>
      <w:suff w:val="tab"/>
      <w:lvlText w:val=""/>
      <w:lvlJc w:val="left"/>
      <w:pPr>
        <w:ind w:left="1800" w:hanging="360"/>
        <w:tabs>
          <w:tab w:val="left" w:pos="1800" w:leader="none"/>
        </w:tabs>
      </w:pPr>
      <w:rPr>
        <w:rFonts w:cs="OpenSymbol"/>
      </w:rPr>
    </w:lvl>
    <w:lvl w:ilvl="4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left" w:pos="2160" w:leader="none"/>
        </w:tabs>
      </w:pPr>
      <w:rPr>
        <w:rFonts w:cs="OpenSymbol"/>
      </w:rPr>
    </w:lvl>
    <w:lvl w:ilvl="5">
      <w:start w:val="1"/>
      <w:numFmt w:val="bullet"/>
      <w:isLgl w:val="false"/>
      <w:suff w:val="tab"/>
      <w:lvlText w:val=""/>
      <w:lvlJc w:val="left"/>
      <w:pPr>
        <w:ind w:left="2520" w:hanging="360"/>
        <w:tabs>
          <w:tab w:val="left" w:pos="2520" w:leader="none"/>
        </w:tabs>
      </w:pPr>
      <w:rPr>
        <w:rFonts w:cs="OpenSymbol"/>
      </w:rPr>
    </w:lvl>
    <w:lvl w:ilvl="6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left" w:pos="2880" w:leader="none"/>
        </w:tabs>
      </w:pPr>
      <w:rPr>
        <w:rFonts w:cs="OpenSymbol"/>
      </w:rPr>
    </w:lvl>
    <w:lvl w:ilvl="7">
      <w:start w:val="1"/>
      <w:numFmt w:val="bullet"/>
      <w:isLgl w:val="false"/>
      <w:suff w:val="tab"/>
      <w:lvlText w:val=""/>
      <w:lvlJc w:val="left"/>
      <w:pPr>
        <w:ind w:left="3240" w:hanging="360"/>
        <w:tabs>
          <w:tab w:val="left" w:pos="3240" w:leader="none"/>
        </w:tabs>
      </w:pPr>
      <w:rPr>
        <w:rFonts w:cs="OpenSymbol"/>
      </w:rPr>
    </w:lvl>
    <w:lvl w:ilvl="8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left" w:pos="3600" w:leader="none"/>
        </w:tabs>
      </w:pPr>
      <w:rPr>
        <w:rFonts w:cs="OpenSymbol"/>
      </w:rPr>
    </w:lvl>
  </w:abstractNum>
  <w:num w:numId="1">
    <w:abstractNumId w:val="45"/>
  </w:num>
  <w:num w:numId="2">
    <w:abstractNumId w:val="23"/>
  </w:num>
  <w:num w:numId="3">
    <w:abstractNumId w:val="40"/>
  </w:num>
  <w:num w:numId="4">
    <w:abstractNumId w:val="36"/>
  </w:num>
  <w:num w:numId="5">
    <w:abstractNumId w:val="11"/>
  </w:num>
  <w:num w:numId="6">
    <w:abstractNumId w:val="19"/>
  </w:num>
  <w:num w:numId="7">
    <w:abstractNumId w:val="32"/>
  </w:num>
  <w:num w:numId="8">
    <w:abstractNumId w:val="15"/>
  </w:num>
  <w:num w:numId="9">
    <w:abstractNumId w:val="38"/>
  </w:num>
  <w:num w:numId="10">
    <w:abstractNumId w:val="13"/>
  </w:num>
  <w:num w:numId="11">
    <w:abstractNumId w:val="41"/>
  </w:num>
  <w:num w:numId="12">
    <w:abstractNumId w:val="10"/>
  </w:num>
  <w:num w:numId="13">
    <w:abstractNumId w:val="22"/>
  </w:num>
  <w:num w:numId="14">
    <w:abstractNumId w:val="25"/>
  </w:num>
  <w:num w:numId="15">
    <w:abstractNumId w:val="42"/>
  </w:num>
  <w:num w:numId="16">
    <w:abstractNumId w:val="7"/>
  </w:num>
  <w:num w:numId="17">
    <w:abstractNumId w:val="31"/>
  </w:num>
  <w:num w:numId="18">
    <w:abstractNumId w:val="33"/>
  </w:num>
  <w:num w:numId="19">
    <w:abstractNumId w:val="30"/>
  </w:num>
  <w:num w:numId="20">
    <w:abstractNumId w:val="3"/>
  </w:num>
  <w:num w:numId="21">
    <w:abstractNumId w:val="35"/>
  </w:num>
  <w:num w:numId="22">
    <w:abstractNumId w:val="37"/>
  </w:num>
  <w:num w:numId="23">
    <w:abstractNumId w:val="2"/>
  </w:num>
  <w:num w:numId="24">
    <w:abstractNumId w:val="27"/>
  </w:num>
  <w:num w:numId="25">
    <w:abstractNumId w:val="4"/>
  </w:num>
  <w:num w:numId="26">
    <w:abstractNumId w:val="39"/>
  </w:num>
  <w:num w:numId="27">
    <w:abstractNumId w:val="43"/>
  </w:num>
  <w:num w:numId="28">
    <w:abstractNumId w:val="0"/>
  </w:num>
  <w:num w:numId="29">
    <w:abstractNumId w:val="17"/>
  </w:num>
  <w:num w:numId="30">
    <w:abstractNumId w:val="29"/>
  </w:num>
  <w:num w:numId="31">
    <w:abstractNumId w:val="6"/>
  </w:num>
  <w:num w:numId="32">
    <w:abstractNumId w:val="18"/>
  </w:num>
  <w:num w:numId="33">
    <w:abstractNumId w:val="8"/>
  </w:num>
  <w:num w:numId="34">
    <w:abstractNumId w:val="20"/>
  </w:num>
  <w:num w:numId="35">
    <w:abstractNumId w:val="12"/>
  </w:num>
  <w:num w:numId="36">
    <w:abstractNumId w:val="5"/>
  </w:num>
  <w:num w:numId="37">
    <w:abstractNumId w:val="34"/>
  </w:num>
  <w:num w:numId="38">
    <w:abstractNumId w:val="9"/>
  </w:num>
  <w:num w:numId="39">
    <w:abstractNumId w:val="26"/>
  </w:num>
  <w:num w:numId="40">
    <w:abstractNumId w:val="28"/>
  </w:num>
  <w:num w:numId="41">
    <w:abstractNumId w:val="14"/>
  </w:num>
  <w:num w:numId="42">
    <w:abstractNumId w:val="44"/>
  </w:num>
  <w:num w:numId="43">
    <w:abstractNumId w:val="16"/>
  </w:num>
  <w:num w:numId="44">
    <w:abstractNumId w:val="24"/>
  </w:num>
  <w:num w:numId="45">
    <w:abstractNumId w:val="2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 w:default="1">
    <w:name w:val="Normal"/>
    <w:qFormat/>
    <w:pPr>
      <w:spacing w:line="200" w:lineRule="atLeast"/>
    </w:pPr>
    <w:rPr>
      <w:rFonts w:ascii="Lucida Sans" w:hAnsi="Lucida Sans" w:eastAsia="Tahoma" w:cs="Calibri"/>
      <w:sz w:val="36"/>
      <w:szCs w:val="24"/>
      <w:lang w:eastAsia="en-US"/>
    </w:rPr>
  </w:style>
  <w:style w:type="paragraph" w:styleId="779">
    <w:name w:val="Heading 1"/>
    <w:basedOn w:val="778"/>
    <w:next w:val="778"/>
    <w:link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0">
    <w:name w:val="Heading 2"/>
    <w:basedOn w:val="778"/>
    <w:next w:val="778"/>
    <w:link w:val="985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81">
    <w:name w:val="Heading 3"/>
    <w:basedOn w:val="778"/>
    <w:next w:val="778"/>
    <w:link w:val="986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</w:rPr>
  </w:style>
  <w:style w:type="paragraph" w:styleId="782">
    <w:name w:val="Heading 4"/>
    <w:basedOn w:val="778"/>
    <w:next w:val="778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984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84">
    <w:name w:val="Heading 6"/>
    <w:basedOn w:val="778"/>
    <w:next w:val="778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basedOn w:val="788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4 Char"/>
    <w:basedOn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Heading 6 Char"/>
    <w:basedOn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8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8"/>
    <w:uiPriority w:val="10"/>
    <w:rPr>
      <w:sz w:val="48"/>
      <w:szCs w:val="48"/>
    </w:rPr>
  </w:style>
  <w:style w:type="character" w:styleId="798" w:customStyle="1">
    <w:name w:val="Subtitle Char"/>
    <w:basedOn w:val="788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88"/>
    <w:uiPriority w:val="99"/>
  </w:style>
  <w:style w:type="character" w:styleId="802" w:customStyle="1">
    <w:name w:val="Footnote Text Char"/>
    <w:uiPriority w:val="99"/>
    <w:rPr>
      <w:sz w:val="18"/>
    </w:rPr>
  </w:style>
  <w:style w:type="character" w:styleId="803" w:customStyle="1">
    <w:name w:val="Endnote Text Char"/>
    <w:uiPriority w:val="99"/>
    <w:rPr>
      <w:sz w:val="20"/>
    </w:rPr>
  </w:style>
  <w:style w:type="character" w:styleId="804" w:customStyle="1">
    <w:name w:val="Заголовок 1 Знак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Heading 2 Char"/>
    <w:basedOn w:val="788"/>
    <w:uiPriority w:val="9"/>
    <w:rPr>
      <w:rFonts w:ascii="Arial" w:hAnsi="Arial" w:eastAsia="Arial" w:cs="Arial"/>
      <w:sz w:val="34"/>
    </w:rPr>
  </w:style>
  <w:style w:type="character" w:styleId="806" w:customStyle="1">
    <w:name w:val="Heading 3 Char"/>
    <w:basedOn w:val="788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Heading 5 Char"/>
    <w:basedOn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Title"/>
    <w:basedOn w:val="778"/>
    <w:next w:val="778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4" w:customStyle="1">
    <w:name w:val="Заголовок Знак"/>
    <w:basedOn w:val="788"/>
    <w:link w:val="813"/>
    <w:uiPriority w:val="10"/>
    <w:rPr>
      <w:sz w:val="48"/>
      <w:szCs w:val="48"/>
    </w:rPr>
  </w:style>
  <w:style w:type="paragraph" w:styleId="815">
    <w:name w:val="Subtitle"/>
    <w:basedOn w:val="778"/>
    <w:next w:val="778"/>
    <w:link w:val="816"/>
    <w:uiPriority w:val="11"/>
    <w:qFormat/>
    <w:pPr>
      <w:spacing w:before="200" w:after="200"/>
    </w:pPr>
    <w:rPr>
      <w:sz w:val="24"/>
    </w:rPr>
  </w:style>
  <w:style w:type="character" w:styleId="816" w:customStyle="1">
    <w:name w:val="Подзаголовок Знак"/>
    <w:basedOn w:val="788"/>
    <w:link w:val="815"/>
    <w:uiPriority w:val="11"/>
    <w:rPr>
      <w:sz w:val="24"/>
      <w:szCs w:val="24"/>
    </w:rPr>
  </w:style>
  <w:style w:type="paragraph" w:styleId="817">
    <w:name w:val="Quote"/>
    <w:basedOn w:val="778"/>
    <w:next w:val="778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78"/>
    <w:next w:val="778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character" w:styleId="821" w:customStyle="1">
    <w:name w:val="Верхний колонтитул Знак"/>
    <w:basedOn w:val="788"/>
    <w:link w:val="971"/>
    <w:uiPriority w:val="99"/>
  </w:style>
  <w:style w:type="character" w:styleId="822" w:customStyle="1">
    <w:name w:val="Footer Char"/>
    <w:basedOn w:val="788"/>
    <w:uiPriority w:val="99"/>
  </w:style>
  <w:style w:type="character" w:styleId="823" w:customStyle="1">
    <w:name w:val="Caption Char"/>
    <w:uiPriority w:val="99"/>
  </w:style>
  <w:style w:type="table" w:styleId="824">
    <w:name w:val="Table Grid"/>
    <w:basedOn w:val="78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5" w:customStyle="1">
    <w:name w:val="Table Grid Light"/>
    <w:basedOn w:val="7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6">
    <w:name w:val="Plain Table 1"/>
    <w:basedOn w:val="7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78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7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78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1"/>
    <w:basedOn w:val="78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2"/>
    <w:basedOn w:val="78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3"/>
    <w:basedOn w:val="78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4"/>
    <w:basedOn w:val="78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5"/>
    <w:basedOn w:val="78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6"/>
    <w:basedOn w:val="78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7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1"/>
    <w:basedOn w:val="78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5"/>
    <w:basedOn w:val="78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6"/>
    <w:basedOn w:val="78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7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1"/>
    <w:basedOn w:val="78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5"/>
    <w:basedOn w:val="78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6"/>
    <w:basedOn w:val="78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78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Grid Table 4 - Accent 1"/>
    <w:basedOn w:val="78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4" w:customStyle="1">
    <w:name w:val="Grid Table 4 - Accent 2"/>
    <w:basedOn w:val="78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Grid Table 4 - Accent 3"/>
    <w:basedOn w:val="78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6" w:customStyle="1">
    <w:name w:val="Grid Table 4 - Accent 4"/>
    <w:basedOn w:val="78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Grid Table 4 - Accent 5"/>
    <w:basedOn w:val="78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Grid Table 4 - Accent 6"/>
    <w:basedOn w:val="78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9">
    <w:name w:val="Grid Table 5 Dark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2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3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5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6"/>
    <w:basedOn w:val="7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6">
    <w:name w:val="Grid Table 6 Colorful"/>
    <w:basedOn w:val="78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Grid Table 6 Colorful - Accent 1"/>
    <w:basedOn w:val="78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8" w:customStyle="1">
    <w:name w:val="Grid Table 6 Colorful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9" w:customStyle="1">
    <w:name w:val="Grid Table 6 Colorful - Accent 3"/>
    <w:basedOn w:val="78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0" w:customStyle="1">
    <w:name w:val="Grid Table 6 Colorful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1" w:customStyle="1">
    <w:name w:val="Grid Table 6 Colorful - Accent 5"/>
    <w:basedOn w:val="78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2" w:customStyle="1">
    <w:name w:val="Grid Table 6 Colorful - Accent 6"/>
    <w:basedOn w:val="78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>
    <w:name w:val="Grid Table 7 Colorful"/>
    <w:basedOn w:val="78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1"/>
    <w:basedOn w:val="78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2"/>
    <w:basedOn w:val="78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3"/>
    <w:basedOn w:val="78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4"/>
    <w:basedOn w:val="78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5"/>
    <w:basedOn w:val="78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6"/>
    <w:basedOn w:val="78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basedOn w:val="78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1"/>
    <w:basedOn w:val="78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2"/>
    <w:basedOn w:val="78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3"/>
    <w:basedOn w:val="78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4"/>
    <w:basedOn w:val="78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5"/>
    <w:basedOn w:val="78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6"/>
    <w:basedOn w:val="78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78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1"/>
    <w:basedOn w:val="78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2"/>
    <w:basedOn w:val="78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3"/>
    <w:basedOn w:val="78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4"/>
    <w:basedOn w:val="78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5"/>
    <w:basedOn w:val="78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6"/>
    <w:basedOn w:val="78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7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1"/>
    <w:basedOn w:val="78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7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1"/>
    <w:basedOn w:val="78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2"/>
    <w:basedOn w:val="78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3"/>
    <w:basedOn w:val="78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4"/>
    <w:basedOn w:val="78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5"/>
    <w:basedOn w:val="78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6"/>
    <w:basedOn w:val="78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78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1"/>
    <w:basedOn w:val="78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>
    <w:name w:val="List Table 6 Colorful"/>
    <w:basedOn w:val="78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List Table 6 Colorful - Accent 1"/>
    <w:basedOn w:val="78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7" w:customStyle="1">
    <w:name w:val="List Table 6 Colorful - Accent 2"/>
    <w:basedOn w:val="78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List Table 6 Colorful - Accent 3"/>
    <w:basedOn w:val="78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9" w:customStyle="1">
    <w:name w:val="List Table 6 Colorful - Accent 4"/>
    <w:basedOn w:val="78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List Table 6 Colorful - Accent 5"/>
    <w:basedOn w:val="78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1" w:customStyle="1">
    <w:name w:val="List Table 6 Colorful - Accent 6"/>
    <w:basedOn w:val="78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2">
    <w:name w:val="List Table 7 Colorful"/>
    <w:basedOn w:val="78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1"/>
    <w:basedOn w:val="78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2"/>
    <w:basedOn w:val="78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3"/>
    <w:basedOn w:val="78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4"/>
    <w:basedOn w:val="78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5"/>
    <w:basedOn w:val="78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6"/>
    <w:basedOn w:val="78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ned - Accent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Lined - Accent 1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Lined - Accent 2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Lined - Accent 3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Lined - Accent 4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Lined - Accent 5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Lined - Accent 6"/>
    <w:basedOn w:val="7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 &amp; Lined - Accent"/>
    <w:basedOn w:val="78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Bordered &amp; Lined - Accent 1"/>
    <w:basedOn w:val="78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Bordered &amp; Lined - Accent 2"/>
    <w:basedOn w:val="78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Bordered &amp; Lined - Accent 3"/>
    <w:basedOn w:val="78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Bordered &amp; Lined - Accent 4"/>
    <w:basedOn w:val="78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Bordered &amp; Lined - Accent 5"/>
    <w:basedOn w:val="78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Bordered &amp; Lined - Accent 6"/>
    <w:basedOn w:val="78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"/>
    <w:basedOn w:val="78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basedOn w:val="78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5" w:customStyle="1">
    <w:name w:val="Bordered - Accent 2"/>
    <w:basedOn w:val="78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6" w:customStyle="1">
    <w:name w:val="Bordered - Accent 3"/>
    <w:basedOn w:val="78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7" w:customStyle="1">
    <w:name w:val="Bordered - Accent 4"/>
    <w:basedOn w:val="78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8" w:customStyle="1">
    <w:name w:val="Bordered - Accent 5"/>
    <w:basedOn w:val="78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9" w:customStyle="1">
    <w:name w:val="Bordered - Accent 6"/>
    <w:basedOn w:val="78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778"/>
    <w:link w:val="952"/>
    <w:uiPriority w:val="99"/>
    <w:semiHidden/>
    <w:unhideWhenUsed/>
    <w:pPr>
      <w:spacing w:after="40" w:line="240" w:lineRule="auto"/>
    </w:pPr>
    <w:rPr>
      <w:sz w:val="18"/>
    </w:rPr>
  </w:style>
  <w:style w:type="character" w:styleId="952" w:customStyle="1">
    <w:name w:val="Текст сноски Знак"/>
    <w:link w:val="951"/>
    <w:uiPriority w:val="99"/>
    <w:rPr>
      <w:sz w:val="18"/>
    </w:rPr>
  </w:style>
  <w:style w:type="character" w:styleId="953">
    <w:name w:val="footnote reference"/>
    <w:basedOn w:val="788"/>
    <w:uiPriority w:val="99"/>
    <w:unhideWhenUsed/>
    <w:rPr>
      <w:vertAlign w:val="superscript"/>
    </w:rPr>
  </w:style>
  <w:style w:type="paragraph" w:styleId="954">
    <w:name w:val="endnote text"/>
    <w:basedOn w:val="778"/>
    <w:link w:val="955"/>
    <w:uiPriority w:val="99"/>
    <w:semiHidden/>
    <w:unhideWhenUsed/>
    <w:pPr>
      <w:spacing w:line="240" w:lineRule="auto"/>
    </w:pPr>
    <w:rPr>
      <w:sz w:val="20"/>
    </w:rPr>
  </w:style>
  <w:style w:type="character" w:styleId="955" w:customStyle="1">
    <w:name w:val="Текст концевой сноски Знак"/>
    <w:link w:val="954"/>
    <w:uiPriority w:val="99"/>
    <w:rPr>
      <w:sz w:val="20"/>
    </w:rPr>
  </w:style>
  <w:style w:type="character" w:styleId="956">
    <w:name w:val="endnote reference"/>
    <w:basedOn w:val="788"/>
    <w:uiPriority w:val="99"/>
    <w:semiHidden/>
    <w:unhideWhenUsed/>
    <w:rPr>
      <w:vertAlign w:val="superscript"/>
    </w:rPr>
  </w:style>
  <w:style w:type="paragraph" w:styleId="957">
    <w:name w:val="toc 1"/>
    <w:basedOn w:val="778"/>
    <w:next w:val="778"/>
    <w:uiPriority w:val="39"/>
    <w:unhideWhenUsed/>
    <w:pPr>
      <w:spacing w:after="57"/>
    </w:pPr>
  </w:style>
  <w:style w:type="paragraph" w:styleId="958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59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60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61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62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63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64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65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778"/>
    <w:next w:val="778"/>
    <w:uiPriority w:val="99"/>
    <w:unhideWhenUsed/>
  </w:style>
  <w:style w:type="character" w:styleId="968">
    <w:name w:val="Emphasis"/>
    <w:qFormat/>
    <w:rPr>
      <w:i/>
      <w:iCs/>
    </w:rPr>
  </w:style>
  <w:style w:type="paragraph" w:styleId="969">
    <w:name w:val="Balloon Text"/>
    <w:basedOn w:val="778"/>
    <w:link w:val="978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70">
    <w:name w:val="Caption"/>
    <w:basedOn w:val="778"/>
    <w:qFormat/>
    <w:pPr>
      <w:spacing w:before="120" w:after="120"/>
      <w:suppressLineNumbers/>
    </w:pPr>
    <w:rPr>
      <w:rFonts w:cs="Lucida Sans"/>
      <w:i/>
      <w:iCs/>
      <w:sz w:val="24"/>
    </w:rPr>
  </w:style>
  <w:style w:type="paragraph" w:styleId="971">
    <w:name w:val="Header"/>
    <w:basedOn w:val="972"/>
    <w:link w:val="821"/>
  </w:style>
  <w:style w:type="paragraph" w:styleId="972" w:customStyle="1">
    <w:name w:val="Колонтитул"/>
    <w:basedOn w:val="778"/>
    <w:qFormat/>
  </w:style>
  <w:style w:type="paragraph" w:styleId="973">
    <w:name w:val="Body Text"/>
    <w:basedOn w:val="778"/>
    <w:qFormat/>
    <w:pPr>
      <w:spacing w:after="140" w:line="276" w:lineRule="auto"/>
    </w:pPr>
  </w:style>
  <w:style w:type="paragraph" w:styleId="974">
    <w:name w:val="index heading"/>
    <w:basedOn w:val="778"/>
    <w:qFormat/>
    <w:pPr>
      <w:suppressLineNumbers/>
    </w:pPr>
    <w:rPr>
      <w:rFonts w:cs="Lucida Sans"/>
    </w:rPr>
  </w:style>
  <w:style w:type="paragraph" w:styleId="975">
    <w:name w:val="Footer"/>
    <w:basedOn w:val="778"/>
    <w:link w:val="983"/>
    <w:uiPriority w:val="99"/>
    <w:unhideWhenUsed/>
    <w:qFormat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976">
    <w:name w:val="List"/>
    <w:basedOn w:val="973"/>
    <w:rPr>
      <w:rFonts w:cs="Lucida Sans"/>
    </w:rPr>
  </w:style>
  <w:style w:type="character" w:styleId="977" w:customStyle="1">
    <w:name w:val="Выделение жирным"/>
    <w:qFormat/>
    <w:rPr>
      <w:b/>
      <w:bCs/>
    </w:rPr>
  </w:style>
  <w:style w:type="character" w:styleId="978" w:customStyle="1">
    <w:name w:val="Текст выноски Знак"/>
    <w:basedOn w:val="788"/>
    <w:link w:val="969"/>
    <w:uiPriority w:val="99"/>
    <w:semiHidden/>
    <w:qFormat/>
    <w:rPr>
      <w:rFonts w:ascii="Tahoma" w:hAnsi="Tahoma" w:eastAsia="Tahoma" w:cs="Tahoma"/>
      <w:sz w:val="16"/>
      <w:szCs w:val="16"/>
      <w:lang w:eastAsia="en-US" w:bidi="ar-SA"/>
    </w:rPr>
  </w:style>
  <w:style w:type="paragraph" w:styleId="979" w:customStyle="1">
    <w:name w:val="Заголовок1"/>
    <w:basedOn w:val="778"/>
    <w:next w:val="97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80">
    <w:name w:val="No Spacing"/>
    <w:qFormat/>
    <w:rPr>
      <w:rFonts w:eastAsia="Times New Roman" w:cs="Times New Roman"/>
      <w:sz w:val="24"/>
      <w:szCs w:val="24"/>
    </w:rPr>
  </w:style>
  <w:style w:type="paragraph" w:styleId="981">
    <w:name w:val="List Paragraph"/>
    <w:basedOn w:val="778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82" w:customStyle="1">
    <w:name w:val="Верхний колонтитул1"/>
    <w:basedOn w:val="778"/>
    <w:qFormat/>
    <w:pPr>
      <w:tabs>
        <w:tab w:val="center" w:pos="4677" w:leader="none"/>
        <w:tab w:val="right" w:pos="9355" w:leader="none"/>
      </w:tabs>
    </w:pPr>
  </w:style>
  <w:style w:type="character" w:styleId="983" w:customStyle="1">
    <w:name w:val="Нижний колонтитул Знак"/>
    <w:basedOn w:val="788"/>
    <w:link w:val="975"/>
    <w:uiPriority w:val="99"/>
    <w:qFormat/>
    <w:rPr>
      <w:rFonts w:ascii="Lucida Sans" w:hAnsi="Lucida Sans" w:eastAsia="Tahoma" w:cs="Calibri"/>
      <w:sz w:val="36"/>
      <w:lang w:eastAsia="en-US" w:bidi="ar-SA"/>
    </w:rPr>
  </w:style>
  <w:style w:type="character" w:styleId="984" w:customStyle="1">
    <w:name w:val="Заголовок 5 Знак"/>
    <w:basedOn w:val="788"/>
    <w:link w:val="783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36"/>
      <w:lang w:eastAsia="en-US" w:bidi="ar-SA"/>
    </w:rPr>
  </w:style>
  <w:style w:type="character" w:styleId="985" w:customStyle="1">
    <w:name w:val="Заголовок 2 Знак"/>
    <w:basedOn w:val="788"/>
    <w:link w:val="78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 w:bidi="ar-SA"/>
    </w:rPr>
  </w:style>
  <w:style w:type="character" w:styleId="986" w:customStyle="1">
    <w:name w:val="Заголовок 3 Знак"/>
    <w:basedOn w:val="788"/>
    <w:link w:val="781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lang w:eastAsia="en-US" w:bidi="ar-SA"/>
    </w:rPr>
  </w:style>
  <w:style w:type="character" w:styleId="987" w:customStyle="1">
    <w:name w:val="Интернет-ссылка"/>
    <w:uiPriority w:val="99"/>
    <w:semiHidden/>
    <w:unhideWhenUsed/>
    <w:rPr>
      <w:color w:val="0000ff"/>
      <w:u w:val="single"/>
    </w:rPr>
  </w:style>
  <w:style w:type="paragraph" w:styleId="988" w:customStyle="1">
    <w:name w:val="Обычный1"/>
    <w:qFormat/>
    <w:pPr>
      <w:spacing w:line="200" w:lineRule="atLeas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Tahoma" w:cs="Montserrat"/>
      <w:sz w:val="36"/>
      <w:szCs w:val="24"/>
      <w:lang w:eastAsia="en-US"/>
    </w:rPr>
  </w:style>
  <w:style w:type="paragraph" w:styleId="989">
    <w:name w:val="annotation text"/>
    <w:basedOn w:val="778"/>
    <w:link w:val="9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0" w:customStyle="1">
    <w:name w:val="Текст примечания Знак"/>
    <w:basedOn w:val="788"/>
    <w:link w:val="989"/>
    <w:uiPriority w:val="99"/>
    <w:semiHidden/>
    <w:rPr>
      <w:rFonts w:ascii="Lucida Sans" w:hAnsi="Lucida Sans" w:eastAsia="Tahoma" w:cs="Calibri"/>
      <w:lang w:eastAsia="en-US"/>
    </w:rPr>
  </w:style>
  <w:style w:type="character" w:styleId="991">
    <w:name w:val="annotation reference"/>
    <w:basedOn w:val="788"/>
    <w:uiPriority w:val="99"/>
    <w:semiHidden/>
    <w:unhideWhenUsed/>
    <w:rPr>
      <w:sz w:val="16"/>
      <w:szCs w:val="16"/>
    </w:rPr>
  </w:style>
  <w:style w:type="character" w:styleId="992">
    <w:name w:val="Strong"/>
    <w:basedOn w:val="78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156F-5560-4F84-B565-AA6DE14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Гостя города</dc:title>
  <dc:creator>Ниязова Гузэль Исламовна</dc:creator>
  <cp:revision>5</cp:revision>
  <dcterms:created xsi:type="dcterms:W3CDTF">2024-08-20T12:42:00Z</dcterms:created>
  <dcterms:modified xsi:type="dcterms:W3CDTF">2024-08-21T06:56:51Z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C83FADE3F0964EE9BCA457329F3A15BD_13</vt:lpwstr>
  </property>
</Properties>
</file>